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97A03" w14:textId="5C396B70" w:rsidR="002D6F98" w:rsidRDefault="00AE2985" w:rsidP="00CA1170">
      <w:pPr>
        <w:spacing w:after="120"/>
        <w:jc w:val="right"/>
      </w:pPr>
      <w:r>
        <w:t>22</w:t>
      </w:r>
      <w:r w:rsidR="002D6F98">
        <w:t>.07.2024</w:t>
      </w:r>
    </w:p>
    <w:p w14:paraId="366362D2" w14:textId="2C15EA47" w:rsidR="00A67B02" w:rsidRPr="002D6F98" w:rsidRDefault="00A67B02" w:rsidP="00CA1170">
      <w:pPr>
        <w:spacing w:after="120"/>
        <w:jc w:val="center"/>
        <w:rPr>
          <w:b/>
          <w:bCs/>
        </w:rPr>
      </w:pPr>
      <w:r w:rsidRPr="002D6F98">
        <w:rPr>
          <w:b/>
          <w:bCs/>
        </w:rPr>
        <w:t>UZASADNIENIE</w:t>
      </w:r>
    </w:p>
    <w:p w14:paraId="1DD2D773" w14:textId="38395C77" w:rsidR="00A67B02" w:rsidRPr="0043379A" w:rsidRDefault="00A67B02" w:rsidP="00CA1170">
      <w:pPr>
        <w:pStyle w:val="NIEARTTEKSTtekstnieartykuowanynppodstprawnarozplubpreambua"/>
        <w:spacing w:before="0" w:after="120" w:line="240" w:lineRule="auto"/>
        <w:ind w:firstLine="0"/>
      </w:pPr>
      <w:r w:rsidRPr="0043379A">
        <w:t xml:space="preserve">Projekt rozporządzenia stanowi realizację upoważnienia ustawowego zawartego w art. 60 ustawy z dnia 20 lutego 2015 r. o odnawialnych źródłach energii </w:t>
      </w:r>
      <w:r w:rsidR="00345D01" w:rsidRPr="00345D01">
        <w:t>(Dz.</w:t>
      </w:r>
      <w:r w:rsidR="002D6F98">
        <w:t> </w:t>
      </w:r>
      <w:r w:rsidR="00345D01" w:rsidRPr="00345D01">
        <w:t>U. z 2023 r. poz. 1436</w:t>
      </w:r>
      <w:r w:rsidR="007F507A">
        <w:t>,</w:t>
      </w:r>
      <w:r w:rsidR="002D6F98">
        <w:t xml:space="preserve"> z </w:t>
      </w:r>
      <w:proofErr w:type="spellStart"/>
      <w:r w:rsidR="002D6F98">
        <w:t>poźn</w:t>
      </w:r>
      <w:proofErr w:type="spellEnd"/>
      <w:r w:rsidR="002D6F98">
        <w:t>. zm.</w:t>
      </w:r>
      <w:r w:rsidR="00345D01" w:rsidRPr="00345D01">
        <w:t>)</w:t>
      </w:r>
      <w:r w:rsidRPr="0043379A">
        <w:t>, zwanej dalej „ustawą”, zgodnie z którym minister właściwy do spraw klimatu może zmienić wielkość udziału, o którym mowa w art. 59 pkt 1 lub 2 ustawy, na kolejny rok lub lata kalendarzowe.</w:t>
      </w:r>
    </w:p>
    <w:p w14:paraId="3CA0235B" w14:textId="06B1F2E9" w:rsidR="00A67B02" w:rsidRPr="0043379A" w:rsidRDefault="00A67B02" w:rsidP="00CA1170">
      <w:pPr>
        <w:pStyle w:val="NIEARTTEKSTtekstnieartykuowanynppodstprawnarozplubpreambua"/>
        <w:spacing w:before="0" w:after="120" w:line="240" w:lineRule="auto"/>
        <w:ind w:firstLine="0"/>
      </w:pPr>
      <w:r w:rsidRPr="0043379A">
        <w:t xml:space="preserve">Zgodnie z delegacją ustawową, przy określeniu ww. udziału wzięto pod uwagę rodzaj podmiotu zobowiązanego, ilość wytworzonej energii elektrycznej w </w:t>
      </w:r>
      <w:proofErr w:type="spellStart"/>
      <w:r w:rsidRPr="0043379A">
        <w:t>mikroinstalacjach</w:t>
      </w:r>
      <w:proofErr w:type="spellEnd"/>
      <w:r w:rsidR="0047782A">
        <w:t xml:space="preserve"> </w:t>
      </w:r>
      <w:r w:rsidRPr="0043379A">
        <w:t>i</w:t>
      </w:r>
      <w:r w:rsidR="000E019B">
        <w:t> </w:t>
      </w:r>
      <w:r w:rsidRPr="0043379A">
        <w:t>w</w:t>
      </w:r>
      <w:r w:rsidR="007F507A">
        <w:t> </w:t>
      </w:r>
      <w:r w:rsidRPr="0043379A">
        <w:t>małych instalacjach, zobowiązania wynikające z umów międzynarodowych, dotychczasową wielkość udziału energii elektrycznej i paliw pozyskiwanych z odnawialnych źródeł energii w</w:t>
      </w:r>
      <w:r w:rsidR="000E019B">
        <w:t> </w:t>
      </w:r>
      <w:r w:rsidRPr="0043379A">
        <w:t>ogólnej ilości energii i paliw zużywanych w energetyce oraz w transporcie, ilość wytworzonego biogazu rolniczego, a także wysokość cen energii elektrycznej na rynku konkurencyjnym.</w:t>
      </w:r>
    </w:p>
    <w:p w14:paraId="667925F5" w14:textId="7DD735DD" w:rsidR="00A67B02" w:rsidRPr="0047782A" w:rsidRDefault="00A67B02" w:rsidP="00CA1170">
      <w:pPr>
        <w:pStyle w:val="NIEARTTEKSTtekstnieartykuowanynppodstprawnarozplubpreambua"/>
        <w:spacing w:before="0" w:after="120" w:line="240" w:lineRule="auto"/>
        <w:ind w:firstLine="0"/>
      </w:pPr>
      <w:r w:rsidRPr="0047782A">
        <w:t>W rozporządzeniu proponuje się</w:t>
      </w:r>
      <w:r w:rsidR="00526DAE">
        <w:t>,</w:t>
      </w:r>
      <w:r w:rsidRPr="0047782A">
        <w:t xml:space="preserve"> </w:t>
      </w:r>
      <w:r w:rsidR="003D2B0F" w:rsidRPr="0047782A">
        <w:t xml:space="preserve">na przestrzeni </w:t>
      </w:r>
      <w:r w:rsidR="0047782A" w:rsidRPr="0047782A">
        <w:t>trzech</w:t>
      </w:r>
      <w:r w:rsidR="003D2B0F" w:rsidRPr="0047782A">
        <w:t xml:space="preserve"> lat</w:t>
      </w:r>
      <w:r w:rsidR="00526DAE">
        <w:t>,</w:t>
      </w:r>
      <w:r w:rsidR="003D2B0F" w:rsidRPr="0047782A">
        <w:t xml:space="preserve"> </w:t>
      </w:r>
      <w:r w:rsidR="006D42C7" w:rsidRPr="0047782A">
        <w:t xml:space="preserve">systematyczne </w:t>
      </w:r>
      <w:r w:rsidR="009E0F59" w:rsidRPr="0047782A">
        <w:t>obniżenie wielkości udziału</w:t>
      </w:r>
      <w:r w:rsidR="006D42C7" w:rsidRPr="0047782A">
        <w:t>,</w:t>
      </w:r>
      <w:r w:rsidR="009E0F59" w:rsidRPr="0047782A">
        <w:t xml:space="preserve"> </w:t>
      </w:r>
      <w:r w:rsidR="006D42C7" w:rsidRPr="0047782A">
        <w:t xml:space="preserve">o którym mowa w art. 59 pkt 1, czyli dla </w:t>
      </w:r>
      <w:r w:rsidRPr="0047782A">
        <w:t>tzw. „zielonych certyfikatów”</w:t>
      </w:r>
      <w:r w:rsidR="00D00338" w:rsidRPr="0047782A">
        <w:t>,</w:t>
      </w:r>
      <w:r w:rsidRPr="0047782A">
        <w:t xml:space="preserve"> </w:t>
      </w:r>
      <w:r w:rsidR="003D2B0F" w:rsidRPr="0047782A">
        <w:t>rozpoczynając od</w:t>
      </w:r>
      <w:r w:rsidR="006D42C7" w:rsidRPr="0047782A">
        <w:t xml:space="preserve"> poziomu 1</w:t>
      </w:r>
      <w:r w:rsidR="003D2B0F" w:rsidRPr="0047782A">
        <w:t>2,5</w:t>
      </w:r>
      <w:r w:rsidR="006D42C7" w:rsidRPr="0047782A">
        <w:t>% w 202</w:t>
      </w:r>
      <w:r w:rsidR="003D2B0F" w:rsidRPr="0047782A">
        <w:t>5</w:t>
      </w:r>
      <w:r w:rsidR="00C448F4" w:rsidRPr="0047782A">
        <w:t xml:space="preserve"> r.</w:t>
      </w:r>
      <w:r w:rsidR="006D42C7" w:rsidRPr="0047782A">
        <w:t xml:space="preserve">, </w:t>
      </w:r>
      <w:r w:rsidR="003D2B0F" w:rsidRPr="0047782A">
        <w:t>po</w:t>
      </w:r>
      <w:r w:rsidR="009B00B6" w:rsidRPr="0047782A">
        <w:t>p</w:t>
      </w:r>
      <w:r w:rsidR="003D2B0F" w:rsidRPr="0047782A">
        <w:t xml:space="preserve">rzez </w:t>
      </w:r>
      <w:r w:rsidR="00E364D8" w:rsidRPr="0047782A">
        <w:t>1</w:t>
      </w:r>
      <w:r w:rsidR="003D2B0F" w:rsidRPr="0047782A">
        <w:t>2</w:t>
      </w:r>
      <w:r w:rsidR="006D42C7" w:rsidRPr="0047782A">
        <w:t>% w 202</w:t>
      </w:r>
      <w:r w:rsidR="009F7497">
        <w:t>6</w:t>
      </w:r>
      <w:r w:rsidR="006D42C7" w:rsidRPr="0047782A">
        <w:t xml:space="preserve"> </w:t>
      </w:r>
      <w:r w:rsidR="00C448F4" w:rsidRPr="0047782A">
        <w:t xml:space="preserve">r. </w:t>
      </w:r>
      <w:r w:rsidR="003D2B0F" w:rsidRPr="0047782A">
        <w:t>do 11,5</w:t>
      </w:r>
      <w:r w:rsidR="007F507A">
        <w:t>%</w:t>
      </w:r>
      <w:r w:rsidR="006D42C7" w:rsidRPr="0047782A">
        <w:t xml:space="preserve"> w 202</w:t>
      </w:r>
      <w:r w:rsidR="009F7497">
        <w:t>7</w:t>
      </w:r>
      <w:r w:rsidR="006D42C7" w:rsidRPr="0047782A">
        <w:t xml:space="preserve"> </w:t>
      </w:r>
      <w:r w:rsidR="00C448F4" w:rsidRPr="0047782A">
        <w:t xml:space="preserve">r. </w:t>
      </w:r>
      <w:r w:rsidRPr="0047782A">
        <w:t>i</w:t>
      </w:r>
      <w:r w:rsidR="007F507A">
        <w:t> </w:t>
      </w:r>
      <w:r w:rsidR="0047782A">
        <w:t>ustalenie</w:t>
      </w:r>
      <w:r w:rsidR="0047782A" w:rsidRPr="0047782A">
        <w:t xml:space="preserve"> </w:t>
      </w:r>
      <w:r w:rsidR="006D42C7" w:rsidRPr="0047782A">
        <w:t>udziału, o którym mowa w art. 59 pkt</w:t>
      </w:r>
      <w:r w:rsidR="00792F34" w:rsidRPr="0047782A">
        <w:t> </w:t>
      </w:r>
      <w:r w:rsidR="006D42C7" w:rsidRPr="0047782A">
        <w:t xml:space="preserve">1, czyli </w:t>
      </w:r>
      <w:r w:rsidRPr="0047782A">
        <w:t>dla tzw. „błękitnych certyfikatów”</w:t>
      </w:r>
      <w:r w:rsidR="00D00338" w:rsidRPr="0047782A">
        <w:t>,</w:t>
      </w:r>
      <w:r w:rsidR="006D42C7" w:rsidRPr="0047782A">
        <w:t xml:space="preserve"> na poziomie 0,5%</w:t>
      </w:r>
      <w:r w:rsidRPr="0047782A">
        <w:t xml:space="preserve">. </w:t>
      </w:r>
      <w:r w:rsidR="00AE2985" w:rsidRPr="0047782A">
        <w:t xml:space="preserve">Wielkość udziału określona na tym poziomie </w:t>
      </w:r>
      <w:r w:rsidR="00AE2985">
        <w:t xml:space="preserve">dodatkowo </w:t>
      </w:r>
      <w:r w:rsidR="00AE2985" w:rsidRPr="0047782A">
        <w:t>przyczyni się do</w:t>
      </w:r>
      <w:r w:rsidR="00AE2985">
        <w:t xml:space="preserve"> zwiększenia</w:t>
      </w:r>
      <w:r w:rsidR="00AE2985" w:rsidRPr="0047782A">
        <w:t xml:space="preserve"> stabilności i</w:t>
      </w:r>
      <w:r w:rsidR="00AE2985">
        <w:t> </w:t>
      </w:r>
      <w:r w:rsidR="00AE2985" w:rsidRPr="0047782A">
        <w:t>przewidywalności warunków funkcjonowania rynku OZE dla wytwórców partycypujących w</w:t>
      </w:r>
      <w:r w:rsidR="00AE2985">
        <w:t> </w:t>
      </w:r>
      <w:r w:rsidR="00AE2985" w:rsidRPr="0047782A">
        <w:t>systemie świadectw pochodzenia.</w:t>
      </w:r>
    </w:p>
    <w:p w14:paraId="716D383E" w14:textId="4F1D7DF0" w:rsidR="00526DAE" w:rsidRDefault="00AE2985" w:rsidP="00CA1170">
      <w:pPr>
        <w:pStyle w:val="NIEARTTEKSTtekstnieartykuowanynppodstprawnarozplubpreambua"/>
        <w:spacing w:before="0" w:after="120" w:line="240" w:lineRule="auto"/>
        <w:ind w:firstLine="0"/>
      </w:pPr>
      <w:r>
        <w:t>Trzy</w:t>
      </w:r>
      <w:r w:rsidRPr="0047782A">
        <w:t xml:space="preserve">letnia perspektywa regulacyjna ma na celu </w:t>
      </w:r>
      <w:r w:rsidRPr="00080118">
        <w:t xml:space="preserve">zwiększenie przewidywalności popytu, a co za tym idzie </w:t>
      </w:r>
      <w:r>
        <w:t xml:space="preserve">także </w:t>
      </w:r>
      <w:r w:rsidRPr="00080118">
        <w:t>cen na rynku zielonych certyfikatów</w:t>
      </w:r>
      <w:r w:rsidRPr="0047782A">
        <w:t>. Stan takiej równowagi jest zasadny ze względu na wciąż znaczącą liczbą aktywnych świadectw pochodzenia zapisanych na kontach użytkowników systemu</w:t>
      </w:r>
      <w:r>
        <w:t xml:space="preserve">, który wynosi </w:t>
      </w:r>
      <w:r w:rsidRPr="0047782A">
        <w:t xml:space="preserve">ok. 15 </w:t>
      </w:r>
      <w:proofErr w:type="spellStart"/>
      <w:r w:rsidRPr="0047782A">
        <w:t>TWh</w:t>
      </w:r>
      <w:proofErr w:type="spellEnd"/>
      <w:r>
        <w:t>.</w:t>
      </w:r>
      <w:r w:rsidRPr="0047782A">
        <w:t xml:space="preserve"> </w:t>
      </w:r>
      <w:r>
        <w:t xml:space="preserve">Gwarantuje to </w:t>
      </w:r>
      <w:r w:rsidRPr="0047782A">
        <w:t>płynność rynku pozwalającą na nabycie przez dużych sprzedawców energii świadectw pochodzenia w ilościach pozwalających na realizację przez te podmioty ich obowiązków ustawowych</w:t>
      </w:r>
      <w:r w:rsidR="00965A1A" w:rsidRPr="0047782A">
        <w:t xml:space="preserve">. </w:t>
      </w:r>
      <w:r w:rsidR="0099614F" w:rsidRPr="0047782A">
        <w:t xml:space="preserve"> </w:t>
      </w:r>
    </w:p>
    <w:p w14:paraId="4D615669" w14:textId="585FB798" w:rsidR="00526DAE" w:rsidRDefault="00AE2985" w:rsidP="00CA1170">
      <w:pPr>
        <w:pStyle w:val="NIEARTTEKSTtekstnieartykuowanynppodstprawnarozplubpreambua"/>
        <w:spacing w:before="0" w:after="120" w:line="240" w:lineRule="auto"/>
        <w:ind w:firstLine="0"/>
      </w:pPr>
      <w:r>
        <w:t xml:space="preserve">Regulacja ma za cel zapewnienie wsparcia wytwórcom energii w instalacji OZE, a podmiotom zobowiązanym możliwości realizacji nałożonego na nich obowiązku. Zakłada się przy tym, w perspektywie trzech kolejnych lat, płynność rynku na poziomie pozwalającym, by wytwórcy partycypujący w systemie wsparcia otrzymali zachętę do sprzedaży świadectw pochodzenia, </w:t>
      </w:r>
      <w:r w:rsidRPr="0047782A">
        <w:t>któ</w:t>
      </w:r>
      <w:r>
        <w:t>rych</w:t>
      </w:r>
      <w:r w:rsidRPr="0047782A">
        <w:t xml:space="preserve"> nie sprzeda</w:t>
      </w:r>
      <w:r>
        <w:t xml:space="preserve">li </w:t>
      </w:r>
      <w:r w:rsidRPr="0047782A">
        <w:t>w latach ubiegłych</w:t>
      </w:r>
      <w:r w:rsidR="00E14B95" w:rsidRPr="0047782A">
        <w:t xml:space="preserve">. </w:t>
      </w:r>
    </w:p>
    <w:p w14:paraId="5DC02ACC" w14:textId="4924C354" w:rsidR="00A67B02" w:rsidRPr="0047782A" w:rsidRDefault="00164768" w:rsidP="00CA1170">
      <w:pPr>
        <w:pStyle w:val="NIEARTTEKSTtekstnieartykuowanynppodstprawnarozplubpreambua"/>
        <w:spacing w:before="0" w:after="120" w:line="240" w:lineRule="auto"/>
        <w:ind w:firstLine="0"/>
      </w:pPr>
      <w:r w:rsidRPr="0047782A">
        <w:t xml:space="preserve">Przewidywana </w:t>
      </w:r>
      <w:r w:rsidR="00D16BF1" w:rsidRPr="0047782A">
        <w:t xml:space="preserve">w przeciągu trzech kolejnych </w:t>
      </w:r>
      <w:r w:rsidR="00526DAE">
        <w:t xml:space="preserve">lat </w:t>
      </w:r>
      <w:r w:rsidRPr="0047782A">
        <w:t xml:space="preserve">redukcja wielkości obowiązku </w:t>
      </w:r>
      <w:r w:rsidR="00C448F4" w:rsidRPr="0047782A">
        <w:t xml:space="preserve">uzyskania i umorzenia świadectw pochodzenia </w:t>
      </w:r>
      <w:r w:rsidR="00A14BFC" w:rsidRPr="0047782A">
        <w:t xml:space="preserve">nie uwzględnia możliwej </w:t>
      </w:r>
      <w:r w:rsidR="00A67B02" w:rsidRPr="0047782A">
        <w:t>migracj</w:t>
      </w:r>
      <w:r w:rsidR="00C05C61" w:rsidRPr="0047782A">
        <w:t>i</w:t>
      </w:r>
      <w:r w:rsidR="00A67B02" w:rsidRPr="0047782A">
        <w:t xml:space="preserve"> istniejących instalacji do innych systemów wsparcia </w:t>
      </w:r>
      <w:r w:rsidR="000E775C" w:rsidRPr="0047782A">
        <w:t xml:space="preserve">ani możliwego znaczącego zwiększenia sprzedaży energii do odbiorców końcowych, np. ze względu na szybszy niż obecnie zakładany rozwój </w:t>
      </w:r>
      <w:r w:rsidR="00DA0735" w:rsidRPr="0047782A">
        <w:t>elektromobilności</w:t>
      </w:r>
      <w:r w:rsidR="000E775C" w:rsidRPr="0047782A">
        <w:t>, dlatego</w:t>
      </w:r>
      <w:r w:rsidR="00A67B02" w:rsidRPr="0047782A">
        <w:t xml:space="preserve"> nie wyklucza się wprowadzenia stosownej korekty </w:t>
      </w:r>
      <w:r w:rsidR="000E775C" w:rsidRPr="0047782A">
        <w:t>w trakcie trwania okresu regulacji</w:t>
      </w:r>
      <w:r w:rsidR="00526DAE">
        <w:t xml:space="preserve"> i w terminie przewidzianym w art. 60 ustawy</w:t>
      </w:r>
      <w:r w:rsidR="00F4561C">
        <w:t xml:space="preserve">, </w:t>
      </w:r>
      <w:r w:rsidR="00E2248C">
        <w:t>w sytuacji gdy</w:t>
      </w:r>
      <w:r w:rsidR="00F4561C">
        <w:t xml:space="preserve"> takie nowe okoliczności będą mieć miejsce</w:t>
      </w:r>
      <w:r w:rsidR="00DA0735" w:rsidRPr="0047782A">
        <w:t>.</w:t>
      </w:r>
      <w:r w:rsidR="000E775C" w:rsidRPr="0047782A">
        <w:t xml:space="preserve"> </w:t>
      </w:r>
      <w:r w:rsidR="00DA0735" w:rsidRPr="0047782A">
        <w:t xml:space="preserve">Należy </w:t>
      </w:r>
      <w:r w:rsidR="00AE2985">
        <w:t xml:space="preserve">przy tym </w:t>
      </w:r>
      <w:r w:rsidR="00DA0735" w:rsidRPr="0047782A">
        <w:t xml:space="preserve">zaznaczyć, że </w:t>
      </w:r>
      <w:r w:rsidR="000E775C" w:rsidRPr="0047782A">
        <w:t xml:space="preserve">rzetelna ocena skutków zaproponowanej </w:t>
      </w:r>
      <w:r w:rsidR="0047782A">
        <w:t>trzy</w:t>
      </w:r>
      <w:r w:rsidR="00DA0735" w:rsidRPr="0047782A">
        <w:t xml:space="preserve">letniej </w:t>
      </w:r>
      <w:r w:rsidR="000E775C" w:rsidRPr="0047782A">
        <w:t>regulacji będzie możliwa w lipcu 202</w:t>
      </w:r>
      <w:r w:rsidR="00D16BF1" w:rsidRPr="0047782A">
        <w:t>8</w:t>
      </w:r>
      <w:r w:rsidR="000E775C" w:rsidRPr="0047782A">
        <w:t xml:space="preserve"> r</w:t>
      </w:r>
      <w:r w:rsidR="002D5A7D" w:rsidRPr="0047782A">
        <w:t>.</w:t>
      </w:r>
      <w:r w:rsidR="000E775C" w:rsidRPr="0047782A">
        <w:t xml:space="preserve"> w oparciu o ceny zielonych certyfikatów i liczbę aktywnych </w:t>
      </w:r>
      <w:r w:rsidR="00DA0735" w:rsidRPr="0047782A">
        <w:t xml:space="preserve">świadectw pochodzenia na kontach użytkowników </w:t>
      </w:r>
      <w:r w:rsidR="00AE2985">
        <w:t xml:space="preserve">– </w:t>
      </w:r>
      <w:r w:rsidR="005E4339" w:rsidRPr="0047782A">
        <w:t>po upływie terminu na realizację obowiązku umorzenia świadectw pochodzenia za 202</w:t>
      </w:r>
      <w:r w:rsidR="00D16BF1" w:rsidRPr="0047782A">
        <w:t>7</w:t>
      </w:r>
      <w:r w:rsidR="002D5A7D" w:rsidRPr="0047782A">
        <w:t xml:space="preserve"> r</w:t>
      </w:r>
      <w:r w:rsidR="00DA0735" w:rsidRPr="0047782A">
        <w:t xml:space="preserve">. </w:t>
      </w:r>
    </w:p>
    <w:p w14:paraId="3C0CBCD7" w14:textId="2A2ADC78" w:rsidR="00A67B02" w:rsidRPr="0008007C" w:rsidRDefault="00A67B02" w:rsidP="00CA1170">
      <w:pPr>
        <w:pStyle w:val="NIEARTTEKSTtekstnieartykuowanynppodstprawnarozplubpreambua"/>
        <w:spacing w:before="0" w:after="120" w:line="240" w:lineRule="auto"/>
        <w:ind w:firstLine="0"/>
        <w:rPr>
          <w:color w:val="FF0000"/>
        </w:rPr>
      </w:pPr>
      <w:r w:rsidRPr="0043379A">
        <w:t xml:space="preserve">W zakresie wpływu regulacji na funkcjonowanie mikro, małych i średnich przedsiębiorstw wyjaśnienia wymaga, iż prezentowane rozwiązania legislacyjne wychodzą naprzeciw oczekiwaniom społecznym oraz </w:t>
      </w:r>
      <w:r w:rsidR="00792F34" w:rsidRPr="0043379A">
        <w:t>oczekiwaniom przedsiębiorców</w:t>
      </w:r>
      <w:r w:rsidRPr="0043379A">
        <w:t>, które kierowan</w:t>
      </w:r>
      <w:r w:rsidR="00CC1406" w:rsidRPr="0043379A">
        <w:t xml:space="preserve">e były </w:t>
      </w:r>
      <w:r w:rsidRPr="0043379A">
        <w:t>do administracji rządowej</w:t>
      </w:r>
      <w:r w:rsidR="002D5A7D" w:rsidRPr="0043379A">
        <w:t xml:space="preserve">. Koszt pozyskania i umorzenia </w:t>
      </w:r>
      <w:r w:rsidR="0047782A">
        <w:t>świadectw pochodzenia</w:t>
      </w:r>
      <w:r w:rsidR="002D5A7D" w:rsidRPr="0043379A">
        <w:t xml:space="preserve"> jest istotnym czynnikiem cenotwórczym energii elektrycznej dla odbiorcy końcowego, gdyż jest w</w:t>
      </w:r>
      <w:r w:rsidR="007F507A">
        <w:t> </w:t>
      </w:r>
      <w:r w:rsidR="002D5A7D" w:rsidRPr="0043379A">
        <w:t xml:space="preserve">całości </w:t>
      </w:r>
      <w:r w:rsidR="002D5A7D" w:rsidRPr="0043379A">
        <w:lastRenderedPageBreak/>
        <w:t xml:space="preserve">na niego </w:t>
      </w:r>
      <w:r w:rsidR="002D5A7D" w:rsidRPr="0047782A">
        <w:t>przenoszony</w:t>
      </w:r>
      <w:r w:rsidR="0008007C" w:rsidRPr="0047782A">
        <w:t xml:space="preserve">, </w:t>
      </w:r>
      <w:r w:rsidR="0047782A" w:rsidRPr="0047782A">
        <w:t>więc</w:t>
      </w:r>
      <w:r w:rsidR="0008007C" w:rsidRPr="0047782A">
        <w:t xml:space="preserve"> zarówno sprzedawcy energii jak i przedsiębiorcy oczekują stabilności minimalnie kilkuletniej w tym obszarze. </w:t>
      </w:r>
    </w:p>
    <w:p w14:paraId="51077362" w14:textId="4958C0D5" w:rsidR="00222045" w:rsidRPr="00836242" w:rsidRDefault="00222045" w:rsidP="00CA1170">
      <w:pPr>
        <w:pStyle w:val="Tekstpodstawowy"/>
        <w:spacing w:after="120"/>
        <w:jc w:val="both"/>
      </w:pPr>
      <w:r w:rsidRPr="00836242">
        <w:t>Projekt rozporządzenia nie podlega procedurze notyfikacji aktów prawnych, określonej w przepisach rozporządzenia Rady Ministrów z dnia 23 grudnia 2002 r. w sprawie sposobu funkcjonowania krajowego systemu notyfikacji norm i aktów prawnych (Dz. U. poz. 2039, z późn. zm.).</w:t>
      </w:r>
    </w:p>
    <w:p w14:paraId="6881C593" w14:textId="77777777" w:rsidR="00A67B02" w:rsidRPr="0043379A" w:rsidRDefault="00A67B02" w:rsidP="00CA1170">
      <w:pPr>
        <w:pStyle w:val="NIEARTTEKSTtekstnieartykuowanynppodstprawnarozplubpreambua"/>
        <w:spacing w:before="0" w:after="120" w:line="240" w:lineRule="auto"/>
        <w:ind w:firstLine="0"/>
      </w:pPr>
      <w:r w:rsidRPr="0043379A">
        <w:t>Projektowane rozporządzenie nie jest sprzeczne z prawem Unii Europejskiej.</w:t>
      </w:r>
    </w:p>
    <w:p w14:paraId="558581D3" w14:textId="65ECA512" w:rsidR="00A67B02" w:rsidRPr="0043379A" w:rsidRDefault="00A67B02" w:rsidP="00CA1170">
      <w:pPr>
        <w:pStyle w:val="NIEARTTEKSTtekstnieartykuowanynppodstprawnarozplubpreambua"/>
        <w:spacing w:before="0" w:after="120" w:line="240" w:lineRule="auto"/>
        <w:ind w:firstLine="0"/>
      </w:pPr>
      <w:r w:rsidRPr="0043379A">
        <w:t xml:space="preserve">Projekt </w:t>
      </w:r>
      <w:r w:rsidR="00222045">
        <w:t>rozporządzeni</w:t>
      </w:r>
      <w:r w:rsidR="00D56BB0">
        <w:t>a</w:t>
      </w:r>
      <w:r w:rsidR="00222045">
        <w:t xml:space="preserve"> </w:t>
      </w:r>
      <w:r w:rsidRPr="0043379A">
        <w:t xml:space="preserve">nie wymaga przedstawienia </w:t>
      </w:r>
      <w:r w:rsidR="00222045">
        <w:t xml:space="preserve">właściwym </w:t>
      </w:r>
      <w:r w:rsidRPr="0043379A">
        <w:t xml:space="preserve">organom i instytucjom Unii Europejskiej, w tym Europejskiemu Bankowi Centralnemu, </w:t>
      </w:r>
      <w:r w:rsidR="00222045">
        <w:t xml:space="preserve">celem </w:t>
      </w:r>
      <w:r w:rsidRPr="0043379A">
        <w:t>uzyskania opinii, dokonania powiadomienia, konsultacji albo uzgodnienia</w:t>
      </w:r>
      <w:r w:rsidR="00222045">
        <w:t xml:space="preserve"> </w:t>
      </w:r>
      <w:r w:rsidR="007473E3">
        <w:t>projektu</w:t>
      </w:r>
      <w:r w:rsidRPr="0043379A">
        <w:t>.</w:t>
      </w:r>
    </w:p>
    <w:p w14:paraId="74ED36AE" w14:textId="6CEA9207" w:rsidR="00F92E1F" w:rsidRDefault="00F92E1F" w:rsidP="00CA1170">
      <w:pPr>
        <w:pStyle w:val="NIEARTTEKSTtekstnieartykuowanynppodstprawnarozplubpreambua"/>
        <w:spacing w:before="0" w:after="120" w:line="240" w:lineRule="auto"/>
        <w:ind w:firstLine="0"/>
      </w:pPr>
      <w:r>
        <w:t xml:space="preserve">W § 2 niniejszego projektu określono, że rozporządzenie wchodzi w życie z dniem następującym po dniu ogłoszenia. Mając na uwadze art. 4 ust. 2 ustawy z dnia 20 lipca 2000 r. o ogłaszaniu aktów normatywnych oraz niektórych innych aktów prawnych (Dz. U. z 2019 r. poz. 1461) należy wskazać, że taki termin wejścia w życie przedmiotowego rozporządzenia jest uzasadniony </w:t>
      </w:r>
      <w:r w:rsidR="00222045">
        <w:t xml:space="preserve">nieprzekraczalnym terminem wynikającym </w:t>
      </w:r>
      <w:r>
        <w:t>z przepisu art. 60 ustawy, tj. 31 sierpnia 2024 r. Tym samym, wejście w życie przedmiotowego rozporządzenia w terminie krótszym niż czternaście dni pozwoli na dochowanie ustawowego terminu umożliwiając ministrowi do spraw klimatu skorzystanie z jego uprawnienia do zmiany wielkość udziału, o</w:t>
      </w:r>
      <w:r w:rsidR="007F507A">
        <w:t> </w:t>
      </w:r>
      <w:r>
        <w:t>którym mowa w art. 59 pkt 1 lub 2 ustawy, na kolejny rok.</w:t>
      </w:r>
    </w:p>
    <w:p w14:paraId="634773BE" w14:textId="1B574538" w:rsidR="00222045" w:rsidRDefault="00F92E1F" w:rsidP="00CA1170">
      <w:pPr>
        <w:pStyle w:val="NIEARTTEKSTtekstnieartykuowanynppodstprawnarozplubpreambua"/>
        <w:spacing w:before="0" w:after="120" w:line="240" w:lineRule="auto"/>
        <w:ind w:firstLine="0"/>
      </w:pPr>
      <w:r>
        <w:t>Określając termin wejścia w życie niniejszego rozporządzenia odstąpiono od terminów wskazanych w § 1 ust. 1 uchwały Rady Ministrów nr 20 z dnia 18 lutego 2014 r. w sprawie zaleceń ujednolicenia terminów wejścia w życie niektórych aktów normatywnych (M. P. poz. 205), stosując w tym przypadku § 1 ust. 2 wskazanej uchwały.</w:t>
      </w:r>
      <w:r w:rsidR="00222045" w:rsidRPr="00222045">
        <w:t xml:space="preserve"> </w:t>
      </w:r>
      <w:r w:rsidR="00222045">
        <w:t>Zastosowanie § 1 ust. 2 wskazanej uchwały wynika z konieczności dokonania terminowej interwencji prawnej związanej z ustaleniem wielkość udziału, o którym mowa w art. 59 pkt 1 lub 2 ustawy, na kolejny rok.</w:t>
      </w:r>
    </w:p>
    <w:p w14:paraId="7ACA3F6E" w14:textId="79DFEAB1" w:rsidR="00305AEF" w:rsidRPr="0043379A" w:rsidRDefault="00F92E1F" w:rsidP="00CA1170">
      <w:pPr>
        <w:pStyle w:val="NIEARTTEKSTtekstnieartykuowanynppodstprawnarozplubpreambua"/>
        <w:spacing w:before="0" w:after="120" w:line="240" w:lineRule="auto"/>
        <w:ind w:firstLine="0"/>
      </w:pPr>
      <w:r>
        <w:t xml:space="preserve">Skrócenie </w:t>
      </w:r>
      <w:r w:rsidRPr="00B86E9E">
        <w:rPr>
          <w:i/>
          <w:iCs/>
        </w:rPr>
        <w:t>vacatio legis</w:t>
      </w:r>
      <w:r>
        <w:t xml:space="preserve"> nie narusza zasady demokratycznego państwa prawa określonej w art. 2 Konstytucji. Jest bowiem konieczne, aby skutecznie i adekwatnie zarządzać systemem świadectw pochodzenia. </w:t>
      </w:r>
    </w:p>
    <w:sectPr w:rsidR="00305AEF" w:rsidRPr="0043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02"/>
    <w:rsid w:val="00060675"/>
    <w:rsid w:val="0008007C"/>
    <w:rsid w:val="00087D79"/>
    <w:rsid w:val="000B004A"/>
    <w:rsid w:val="000E019B"/>
    <w:rsid w:val="000E775C"/>
    <w:rsid w:val="0010212A"/>
    <w:rsid w:val="00117164"/>
    <w:rsid w:val="00140586"/>
    <w:rsid w:val="00152798"/>
    <w:rsid w:val="00164768"/>
    <w:rsid w:val="001D1095"/>
    <w:rsid w:val="001E6C9B"/>
    <w:rsid w:val="00203E35"/>
    <w:rsid w:val="00222045"/>
    <w:rsid w:val="002728E4"/>
    <w:rsid w:val="00277969"/>
    <w:rsid w:val="002A54FA"/>
    <w:rsid w:val="002D5A7D"/>
    <w:rsid w:val="002D6F98"/>
    <w:rsid w:val="002E6BB9"/>
    <w:rsid w:val="00305AEF"/>
    <w:rsid w:val="00325A7A"/>
    <w:rsid w:val="00345D01"/>
    <w:rsid w:val="003462B8"/>
    <w:rsid w:val="003C6886"/>
    <w:rsid w:val="003D2B0F"/>
    <w:rsid w:val="003E05CD"/>
    <w:rsid w:val="004047D9"/>
    <w:rsid w:val="00414C07"/>
    <w:rsid w:val="004159B9"/>
    <w:rsid w:val="00415AD4"/>
    <w:rsid w:val="0043379A"/>
    <w:rsid w:val="00476539"/>
    <w:rsid w:val="0047782A"/>
    <w:rsid w:val="004E5C24"/>
    <w:rsid w:val="00526DAE"/>
    <w:rsid w:val="0056465D"/>
    <w:rsid w:val="0056580E"/>
    <w:rsid w:val="005A2889"/>
    <w:rsid w:val="005C6F9D"/>
    <w:rsid w:val="005D12C5"/>
    <w:rsid w:val="005E4339"/>
    <w:rsid w:val="006743D5"/>
    <w:rsid w:val="0069756A"/>
    <w:rsid w:val="006D42C7"/>
    <w:rsid w:val="006D4702"/>
    <w:rsid w:val="00740140"/>
    <w:rsid w:val="007473E3"/>
    <w:rsid w:val="007563D5"/>
    <w:rsid w:val="007619C0"/>
    <w:rsid w:val="0077670C"/>
    <w:rsid w:val="00792F34"/>
    <w:rsid w:val="007959D2"/>
    <w:rsid w:val="007F507A"/>
    <w:rsid w:val="00812952"/>
    <w:rsid w:val="008739C2"/>
    <w:rsid w:val="00894B70"/>
    <w:rsid w:val="008C3164"/>
    <w:rsid w:val="008D6F8D"/>
    <w:rsid w:val="00965A1A"/>
    <w:rsid w:val="00976D01"/>
    <w:rsid w:val="0099614F"/>
    <w:rsid w:val="009B00B6"/>
    <w:rsid w:val="009E0F59"/>
    <w:rsid w:val="009E7AF4"/>
    <w:rsid w:val="009F7497"/>
    <w:rsid w:val="00A00C43"/>
    <w:rsid w:val="00A14BFC"/>
    <w:rsid w:val="00A2110A"/>
    <w:rsid w:val="00A27724"/>
    <w:rsid w:val="00A52220"/>
    <w:rsid w:val="00A67B02"/>
    <w:rsid w:val="00A7658C"/>
    <w:rsid w:val="00AD73A0"/>
    <w:rsid w:val="00AD7C54"/>
    <w:rsid w:val="00AE2985"/>
    <w:rsid w:val="00AF71B8"/>
    <w:rsid w:val="00B06CF4"/>
    <w:rsid w:val="00B22BD6"/>
    <w:rsid w:val="00B343A1"/>
    <w:rsid w:val="00B367BC"/>
    <w:rsid w:val="00B82431"/>
    <w:rsid w:val="00B86E9E"/>
    <w:rsid w:val="00B901AA"/>
    <w:rsid w:val="00B90E48"/>
    <w:rsid w:val="00B92D87"/>
    <w:rsid w:val="00B97C7F"/>
    <w:rsid w:val="00BC49F7"/>
    <w:rsid w:val="00C05C61"/>
    <w:rsid w:val="00C448F4"/>
    <w:rsid w:val="00C670BD"/>
    <w:rsid w:val="00CA1170"/>
    <w:rsid w:val="00CC1406"/>
    <w:rsid w:val="00CF765C"/>
    <w:rsid w:val="00D00338"/>
    <w:rsid w:val="00D011B2"/>
    <w:rsid w:val="00D16BF1"/>
    <w:rsid w:val="00D17467"/>
    <w:rsid w:val="00D30328"/>
    <w:rsid w:val="00D400AF"/>
    <w:rsid w:val="00D56BB0"/>
    <w:rsid w:val="00D77FEC"/>
    <w:rsid w:val="00DA0735"/>
    <w:rsid w:val="00E14B95"/>
    <w:rsid w:val="00E2248C"/>
    <w:rsid w:val="00E364D8"/>
    <w:rsid w:val="00E76E63"/>
    <w:rsid w:val="00E9575F"/>
    <w:rsid w:val="00EA51ED"/>
    <w:rsid w:val="00EF50D0"/>
    <w:rsid w:val="00F13B3E"/>
    <w:rsid w:val="00F227B8"/>
    <w:rsid w:val="00F2621E"/>
    <w:rsid w:val="00F27FFA"/>
    <w:rsid w:val="00F4561C"/>
    <w:rsid w:val="00F92E1F"/>
    <w:rsid w:val="00FB3BF1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41C4"/>
  <w15:chartTrackingRefBased/>
  <w15:docId w15:val="{E1C2F8D4-9E13-4BDC-8F50-A2AB210B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A67B02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styleId="Poprawka">
    <w:name w:val="Revision"/>
    <w:hidden/>
    <w:uiPriority w:val="99"/>
    <w:semiHidden/>
    <w:rsid w:val="00C4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4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48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48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8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8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22045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220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469C4-E210-4289-A664-B1971881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5065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Stańczuk</dc:creator>
  <cp:keywords/>
  <dc:description/>
  <cp:lastModifiedBy>Ewelina Michałek</cp:lastModifiedBy>
  <cp:revision>2</cp:revision>
  <dcterms:created xsi:type="dcterms:W3CDTF">2024-07-24T15:43:00Z</dcterms:created>
  <dcterms:modified xsi:type="dcterms:W3CDTF">2024-07-24T15:43:00Z</dcterms:modified>
</cp:coreProperties>
</file>